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Georgia" w:cs="Georgia" w:eastAsia="Georgia" w:hAnsi="Georgia"/>
          <w:b/>
          <w:bCs/>
          <w:color w:val="1F3A5F"/>
          <w:sz w:val="40"/>
          <w:szCs w:val="40"/>
        </w:rPr>
        <w:t xml:space="preserve">MURCHISON ODYSSEY LIMITED</w:t>
      </w:r>
    </w:p>
    <w:p>
      <w:pPr>
        <w:pBdr>
          <w:bottom w:val="single" w:color="B8863B" w:sz="16" w:space="6"/>
        </w:pBdr>
        <w:spacing w:after="200"/>
      </w:pPr>
      <w:r>
        <w:rPr>
          <w:rFonts w:ascii="Calibri" w:cs="Calibri" w:eastAsia="Calibri" w:hAnsi="Calibri"/>
          <w:i/>
          <w:iCs/>
          <w:color w:val="555555"/>
          <w:sz w:val="20"/>
          <w:szCs w:val="20"/>
        </w:rPr>
        <w:t xml:space="preserve">TOURISM &amp; TRANSPORT ADVISORY  ·  CAPABILITY STATEMENT</w:t>
      </w:r>
    </w:p>
    <w:p>
      <w:pPr>
        <w:pBdr>
          <w:bottom w:val="single" w:color="B8863B" w:sz="6" w:space="4"/>
        </w:pBdr>
        <w:spacing w:after="140" w:before="320"/>
      </w:pPr>
      <w:r>
        <w:rPr>
          <w:rFonts w:ascii="Georgia" w:cs="Georgia" w:eastAsia="Georgia" w:hAnsi="Georgia"/>
          <w:b/>
          <w:bCs/>
          <w:color w:val="1F3A5F"/>
          <w:sz w:val="22"/>
          <w:szCs w:val="22"/>
        </w:rPr>
        <w:t xml:space="preserve">WHO WE ARE</w:t>
      </w:r>
    </w:p>
    <w:p>
      <w:pPr>
        <w:spacing w:after="120"/>
      </w:pPr>
      <w:r>
        <w:rPr>
          <w:rFonts w:ascii="Calibri" w:cs="Calibri" w:eastAsia="Calibri" w:hAnsi="Calibri"/>
          <w:color w:val="222222"/>
          <w:sz w:val="20"/>
          <w:szCs w:val="20"/>
        </w:rPr>
        <w:t xml:space="preserve">Murchison Odyssey Limited is a Kampala-based private company incorporated in Uganda under the Companies Act, Cap 106, in August 2026 (URSB Certificate of Incorporation). We advise government agencies, development partners, and private investors on tourism and transport projects, combining feasibility analysis, environmental and social due diligence, and public-private partnership structuring with hands-on capacity building for local stakeholders.</w:t>
      </w:r>
    </w:p>
    <w:p>
      <w:pPr>
        <w:spacing w:after="120"/>
      </w:pPr>
      <w:r>
        <w:rPr>
          <w:rFonts w:ascii="Calibri" w:cs="Calibri" w:eastAsia="Calibri" w:hAnsi="Calibri"/>
          <w:color w:val="222222"/>
          <w:sz w:val="20"/>
          <w:szCs w:val="20"/>
        </w:rPr>
        <w:t xml:space="preserve">Our name reflects our focus: connecting Uganda's tourism assets — anchored by landmarks such as Murchison Falls — with the transport and logistics infrastructure needed to unlock their economic potential.</w:t>
      </w:r>
    </w:p>
    <w:p>
      <w:pPr>
        <w:pBdr>
          <w:bottom w:val="single" w:color="B8863B" w:sz="6" w:space="4"/>
        </w:pBdr>
        <w:spacing w:after="140" w:before="320"/>
      </w:pPr>
      <w:r>
        <w:rPr>
          <w:rFonts w:ascii="Georgia" w:cs="Georgia" w:eastAsia="Georgia" w:hAnsi="Georgia"/>
          <w:b/>
          <w:bCs/>
          <w:color w:val="1F3A5F"/>
          <w:sz w:val="22"/>
          <w:szCs w:val="22"/>
        </w:rPr>
        <w:t xml:space="preserve">CORE SERVICE LINES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5600"/>
        <w:gridCol w:w="1700"/>
      </w:tblGrid>
      <w:tr>
        <w:trPr>
          <w:tblHeader/>
        </w:trPr>
        <w:tc>
          <w:tcPr>
            <w:tcW w:type="dxa" w:w="3200"/>
            <w:shd w:fill="1F3A5F" w:val="clear"/>
            <w:tcMar>
              <w:top w:type="dxa" w:w="80"/>
              <w:left w:type="dxa" w:w="100"/>
              <w:bottom w:type="dxa" w:w="80"/>
              <w:right w:type="dxa" w:w="100"/>
            </w:tcMar>
          </w:tcPr>
          <w:p>
            <w:pPr>
              <w:jc w:val="left"/>
            </w:pPr>
            <w:r>
              <w:rPr>
                <w:rFonts w:ascii="Calibri" w:cs="Calibri" w:eastAsia="Calibri" w:hAnsi="Calibri"/>
                <w:b/>
                <w:bCs/>
                <w:color w:val="FFFFFF"/>
                <w:sz w:val="18"/>
                <w:szCs w:val="18"/>
              </w:rPr>
              <w:t xml:space="preserve">Service line</w:t>
            </w:r>
          </w:p>
        </w:tc>
        <w:tc>
          <w:tcPr>
            <w:tcW w:type="dxa" w:w="5600"/>
            <w:shd w:fill="1F3A5F" w:val="clear"/>
            <w:tcMar>
              <w:top w:type="dxa" w:w="80"/>
              <w:left w:type="dxa" w:w="100"/>
              <w:bottom w:type="dxa" w:w="80"/>
              <w:right w:type="dxa" w:w="100"/>
            </w:tcMar>
          </w:tcPr>
          <w:p>
            <w:pPr>
              <w:jc w:val="left"/>
            </w:pPr>
            <w:r>
              <w:rPr>
                <w:rFonts w:ascii="Calibri" w:cs="Calibri" w:eastAsia="Calibri" w:hAnsi="Calibri"/>
                <w:b/>
                <w:bCs/>
                <w:color w:val="FFFFFF"/>
                <w:sz w:val="18"/>
                <w:szCs w:val="18"/>
              </w:rPr>
              <w:t xml:space="preserve">What it covers</w:t>
            </w:r>
          </w:p>
        </w:tc>
        <w:tc>
          <w:tcPr>
            <w:tcW w:type="dxa" w:w="1700"/>
            <w:shd w:fill="1F3A5F" w:val="clear"/>
            <w:tcMar>
              <w:top w:type="dxa" w:w="80"/>
              <w:left w:type="dxa" w:w="100"/>
              <w:bottom w:type="dxa" w:w="80"/>
              <w:right w:type="dxa" w:w="100"/>
            </w:tcMar>
          </w:tcPr>
          <w:p>
            <w:pPr>
              <w:jc w:val="left"/>
            </w:pPr>
            <w:r>
              <w:rPr>
                <w:rFonts w:ascii="Calibri" w:cs="Calibri" w:eastAsia="Calibri" w:hAnsi="Calibri"/>
                <w:b/>
                <w:bCs/>
                <w:color w:val="FFFFFF"/>
                <w:sz w:val="18"/>
                <w:szCs w:val="18"/>
              </w:rPr>
              <w:t xml:space="preserve">Linked objective</w:t>
            </w:r>
          </w:p>
        </w:tc>
      </w:tr>
      <w:tr>
        <w:tc>
          <w:tcPr>
            <w:tcW w:type="dxa" w:w="32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Feasibility Studies &amp; Due Diligence</w:t>
            </w:r>
          </w:p>
        </w:tc>
        <w:tc>
          <w:tcPr>
            <w:tcW w:type="dxa" w:w="56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Market research, technical/financial feasibility, risk assessment for tourism and transport projects</w:t>
            </w:r>
          </w:p>
        </w:tc>
        <w:tc>
          <w:tcPr>
            <w:tcW w:type="dxa" w:w="1700"/>
            <w:shd w:fill="F2F0EC" w:val="clear"/>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3, 9</w:t>
            </w:r>
          </w:p>
        </w:tc>
      </w:tr>
      <w:tr>
        <w:tc>
          <w:tcPr>
            <w:tcW w:type="dxa" w:w="3200"/>
            <w:tcMar>
              <w:top w:type="dxa" w:w="80"/>
              <w:left w:type="dxa" w:w="100"/>
              <w:bottom w:type="dxa" w:w="80"/>
              <w:right w:type="dxa" w:w="100"/>
            </w:tcMar>
          </w:tcPr>
          <w:p>
            <w:pPr>
              <w:jc w:val="left"/>
            </w:pPr>
            <w:r>
              <w:rPr>
                <w:rFonts w:ascii="Calibri" w:cs="Calibri" w:eastAsia="Calibri" w:hAnsi="Calibri"/>
                <w:b/>
                <w:bCs/>
                <w:color w:val="222222"/>
                <w:sz w:val="18"/>
                <w:szCs w:val="18"/>
              </w:rPr>
              <w:t xml:space="preserve">Environmental &amp; Social Impact Assessment Support</w:t>
            </w:r>
          </w:p>
        </w:tc>
        <w:tc>
          <w:tcPr>
            <w:tcW w:type="dxa" w:w="56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ESIA/ESMP input and coordination for tourism and transport infrastructure (in association with NEMA-certified practitioners)</w:t>
            </w:r>
          </w:p>
        </w:tc>
        <w:tc>
          <w:tcPr>
            <w:tcW w:type="dxa" w:w="1700"/>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4</w:t>
            </w:r>
          </w:p>
        </w:tc>
      </w:tr>
      <w:tr>
        <w:tc>
          <w:tcPr>
            <w:tcW w:type="dxa" w:w="32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Transport Advisory</w:t>
            </w:r>
          </w:p>
        </w:tc>
        <w:tc>
          <w:tcPr>
            <w:tcW w:type="dxa" w:w="56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Road, air, water and rail connectivity studies; logistics management; regulatory compliance advisory</w:t>
            </w:r>
          </w:p>
        </w:tc>
        <w:tc>
          <w:tcPr>
            <w:tcW w:type="dxa" w:w="1700"/>
            <w:shd w:fill="F2F0EC" w:val="clear"/>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5</w:t>
            </w:r>
          </w:p>
        </w:tc>
      </w:tr>
      <w:tr>
        <w:tc>
          <w:tcPr>
            <w:tcW w:type="dxa" w:w="3200"/>
            <w:tcMar>
              <w:top w:type="dxa" w:w="80"/>
              <w:left w:type="dxa" w:w="100"/>
              <w:bottom w:type="dxa" w:w="80"/>
              <w:right w:type="dxa" w:w="100"/>
            </w:tcMar>
          </w:tcPr>
          <w:p>
            <w:pPr>
              <w:jc w:val="left"/>
            </w:pPr>
            <w:r>
              <w:rPr>
                <w:rFonts w:ascii="Calibri" w:cs="Calibri" w:eastAsia="Calibri" w:hAnsi="Calibri"/>
                <w:b/>
                <w:bCs/>
                <w:color w:val="222222"/>
                <w:sz w:val="18"/>
                <w:szCs w:val="18"/>
              </w:rPr>
              <w:t xml:space="preserve">PPP &amp; Investment Facilitation</w:t>
            </w:r>
          </w:p>
        </w:tc>
        <w:tc>
          <w:tcPr>
            <w:tcW w:type="dxa" w:w="56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Structuring public-private partnerships, investor introductions, transaction support for tourism and transport infrastructure</w:t>
            </w:r>
          </w:p>
        </w:tc>
        <w:tc>
          <w:tcPr>
            <w:tcW w:type="dxa" w:w="1700"/>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1, 10</w:t>
            </w:r>
          </w:p>
        </w:tc>
      </w:tr>
      <w:tr>
        <w:tc>
          <w:tcPr>
            <w:tcW w:type="dxa" w:w="32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Tourism Destination Planning</w:t>
            </w:r>
          </w:p>
        </w:tc>
        <w:tc>
          <w:tcPr>
            <w:tcW w:type="dxa" w:w="56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Master planning, product development, marketing strategy and community engagement for destinations and attractions</w:t>
            </w:r>
          </w:p>
        </w:tc>
        <w:tc>
          <w:tcPr>
            <w:tcW w:type="dxa" w:w="1700"/>
            <w:shd w:fill="F2F0EC" w:val="clear"/>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11</w:t>
            </w:r>
          </w:p>
        </w:tc>
      </w:tr>
      <w:tr>
        <w:tc>
          <w:tcPr>
            <w:tcW w:type="dxa" w:w="3200"/>
            <w:tcMar>
              <w:top w:type="dxa" w:w="80"/>
              <w:left w:type="dxa" w:w="100"/>
              <w:bottom w:type="dxa" w:w="80"/>
              <w:right w:type="dxa" w:w="100"/>
            </w:tcMar>
          </w:tcPr>
          <w:p>
            <w:pPr>
              <w:jc w:val="left"/>
            </w:pPr>
            <w:r>
              <w:rPr>
                <w:rFonts w:ascii="Calibri" w:cs="Calibri" w:eastAsia="Calibri" w:hAnsi="Calibri"/>
                <w:b/>
                <w:bCs/>
                <w:color w:val="222222"/>
                <w:sz w:val="18"/>
                <w:szCs w:val="18"/>
              </w:rPr>
              <w:t xml:space="preserve">Training &amp; Capacity Building</w:t>
            </w:r>
          </w:p>
        </w:tc>
        <w:tc>
          <w:tcPr>
            <w:tcW w:type="dxa" w:w="56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Workshops and institutional strengthening for public and private stakeholders in tourism and transport management</w:t>
            </w:r>
          </w:p>
        </w:tc>
        <w:tc>
          <w:tcPr>
            <w:tcW w:type="dxa" w:w="1700"/>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2</w:t>
            </w:r>
          </w:p>
        </w:tc>
      </w:tr>
      <w:tr>
        <w:tc>
          <w:tcPr>
            <w:tcW w:type="dxa" w:w="32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General Business &amp; Commercial Consulting</w:t>
            </w:r>
          </w:p>
        </w:tc>
        <w:tc>
          <w:tcPr>
            <w:tcW w:type="dxa" w:w="56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Broader advisory and commercial services as opportunities arise</w:t>
            </w:r>
          </w:p>
        </w:tc>
        <w:tc>
          <w:tcPr>
            <w:tcW w:type="dxa" w:w="1700"/>
            <w:shd w:fill="F2F0EC" w:val="clear"/>
            <w:tcMar>
              <w:top w:type="dxa" w:w="80"/>
              <w:left w:type="dxa" w:w="100"/>
              <w:bottom w:type="dxa" w:w="80"/>
              <w:right w:type="dxa" w:w="100"/>
            </w:tcMar>
          </w:tcPr>
          <w:p>
            <w:pPr>
              <w:jc w:val="center"/>
            </w:pPr>
            <w:r>
              <w:rPr>
                <w:rFonts w:ascii="Calibri" w:cs="Calibri" w:eastAsia="Calibri" w:hAnsi="Calibri"/>
                <w:b w:val="false"/>
                <w:bCs w:val="false"/>
                <w:color w:val="222222"/>
                <w:sz w:val="18"/>
                <w:szCs w:val="18"/>
              </w:rPr>
              <w:t xml:space="preserve">Obj. 6, 7, 12</w:t>
            </w:r>
          </w:p>
        </w:tc>
      </w:tr>
    </w:tbl>
    <w:p>
      <w:pPr>
        <w:pBdr>
          <w:bottom w:val="single" w:color="B8863B" w:sz="6" w:space="4"/>
        </w:pBdr>
        <w:spacing w:after="140" w:before="320"/>
      </w:pPr>
      <w:r>
        <w:rPr>
          <w:rFonts w:ascii="Georgia" w:cs="Georgia" w:eastAsia="Georgia" w:hAnsi="Georgia"/>
          <w:b/>
          <w:bCs/>
          <w:color w:val="1F3A5F"/>
          <w:sz w:val="22"/>
          <w:szCs w:val="22"/>
        </w:rPr>
        <w:t xml:space="preserve">WHY MURCHISON ODYSSEY</w:t>
      </w:r>
    </w:p>
    <w:p>
      <w:pPr>
        <w:pStyle w:val="ListParagraph"/>
        <w:numPr>
          <w:ilvl w:val="0"/>
          <w:numId w:val="2"/>
        </w:numPr>
        <w:spacing w:after="70"/>
      </w:pPr>
      <w:r>
        <w:rPr>
          <w:rFonts w:ascii="Calibri" w:cs="Calibri" w:eastAsia="Calibri" w:hAnsi="Calibri"/>
          <w:b/>
          <w:bCs/>
          <w:color w:val="1F3A5F"/>
          <w:sz w:val="20"/>
          <w:szCs w:val="20"/>
        </w:rPr>
        <w:t xml:space="preserve">International reach, local grounding.</w:t>
      </w:r>
      <w:r>
        <w:rPr>
          <w:rFonts w:ascii="Calibri" w:cs="Calibri" w:eastAsia="Calibri" w:hAnsi="Calibri"/>
          <w:color w:val="222222"/>
          <w:sz w:val="20"/>
          <w:szCs w:val="20"/>
        </w:rPr>
        <w:t xml:space="preserve"> Ugandan-registered entity with UK-based director expertise — able to bridge diaspora and foreign investors with local project delivery.</w:t>
      </w:r>
    </w:p>
    <w:p>
      <w:pPr>
        <w:pStyle w:val="ListParagraph"/>
        <w:numPr>
          <w:ilvl w:val="0"/>
          <w:numId w:val="2"/>
        </w:numPr>
        <w:spacing w:after="70"/>
      </w:pPr>
      <w:r>
        <w:rPr>
          <w:rFonts w:ascii="Calibri" w:cs="Calibri" w:eastAsia="Calibri" w:hAnsi="Calibri"/>
          <w:b/>
          <w:bCs/>
          <w:color w:val="1F3A5F"/>
          <w:sz w:val="20"/>
          <w:szCs w:val="20"/>
        </w:rPr>
        <w:t xml:space="preserve">Broad, integrated mandate.</w:t>
      </w:r>
      <w:r>
        <w:rPr>
          <w:rFonts w:ascii="Calibri" w:cs="Calibri" w:eastAsia="Calibri" w:hAnsi="Calibri"/>
          <w:color w:val="222222"/>
          <w:sz w:val="20"/>
          <w:szCs w:val="20"/>
        </w:rPr>
        <w:t xml:space="preserve"> Twelve registered objectives spanning feasibility studies, ESIA support, transport advisory, PPP facilitation, destination planning, and training — able to support a project from concept through implementation.</w:t>
      </w:r>
    </w:p>
    <w:p>
      <w:pPr>
        <w:pStyle w:val="ListParagraph"/>
        <w:numPr>
          <w:ilvl w:val="0"/>
          <w:numId w:val="2"/>
        </w:numPr>
        <w:spacing w:after="70"/>
      </w:pPr>
      <w:r>
        <w:rPr>
          <w:rFonts w:ascii="Calibri" w:cs="Calibri" w:eastAsia="Calibri" w:hAnsi="Calibri"/>
          <w:b/>
          <w:bCs/>
          <w:color w:val="1F3A5F"/>
          <w:sz w:val="20"/>
          <w:szCs w:val="20"/>
        </w:rPr>
        <w:t xml:space="preserve">Aligned with national priorities.</w:t>
      </w:r>
      <w:r>
        <w:rPr>
          <w:rFonts w:ascii="Calibri" w:cs="Calibri" w:eastAsia="Calibri" w:hAnsi="Calibri"/>
          <w:color w:val="222222"/>
          <w:sz w:val="20"/>
          <w:szCs w:val="20"/>
        </w:rPr>
        <w:t xml:space="preserve"> sustainable, community-inclusive tourism and transport development, in line with national strategy.</w:t>
      </w:r>
    </w:p>
    <w:p>
      <w:pPr>
        <w:pBdr>
          <w:bottom w:val="single" w:color="B8863B" w:sz="6" w:space="4"/>
        </w:pBdr>
        <w:spacing w:after="140" w:before="320"/>
      </w:pPr>
      <w:r>
        <w:rPr>
          <w:rFonts w:ascii="Georgia" w:cs="Georgia" w:eastAsia="Georgia" w:hAnsi="Georgia"/>
          <w:b/>
          <w:bCs/>
          <w:color w:val="1F3A5F"/>
          <w:sz w:val="22"/>
          <w:szCs w:val="22"/>
        </w:rPr>
        <w:t xml:space="preserve">TARGET CLIENTS</w:t>
      </w:r>
    </w:p>
    <w:p>
      <w:pPr>
        <w:pStyle w:val="ListParagraph"/>
        <w:numPr>
          <w:ilvl w:val="0"/>
          <w:numId w:val="2"/>
        </w:numPr>
        <w:spacing w:after="70"/>
      </w:pPr>
      <w:r>
        <w:rPr>
          <w:rFonts w:ascii="Calibri" w:cs="Calibri" w:eastAsia="Calibri" w:hAnsi="Calibri"/>
          <w:color w:val="222222"/>
          <w:sz w:val="20"/>
          <w:szCs w:val="20"/>
        </w:rPr>
        <w:t xml:space="preserve">Government ministries and agencies (Ministry of Works and Transport, Uganda Tourism Board, district local governments)</w:t>
      </w:r>
    </w:p>
    <w:p>
      <w:pPr>
        <w:pStyle w:val="ListParagraph"/>
        <w:numPr>
          <w:ilvl w:val="0"/>
          <w:numId w:val="2"/>
        </w:numPr>
        <w:spacing w:after="70"/>
      </w:pPr>
      <w:r>
        <w:rPr>
          <w:rFonts w:ascii="Calibri" w:cs="Calibri" w:eastAsia="Calibri" w:hAnsi="Calibri"/>
          <w:color w:val="222222"/>
          <w:sz w:val="20"/>
          <w:szCs w:val="20"/>
        </w:rPr>
        <w:t xml:space="preserve">Development partners and multilateral agencies (World Bank, AfDB, UNOPS, JICA)</w:t>
      </w:r>
    </w:p>
    <w:p>
      <w:pPr>
        <w:pStyle w:val="ListParagraph"/>
        <w:numPr>
          <w:ilvl w:val="0"/>
          <w:numId w:val="2"/>
        </w:numPr>
        <w:spacing w:after="70"/>
      </w:pPr>
      <w:r>
        <w:rPr>
          <w:rFonts w:ascii="Calibri" w:cs="Calibri" w:eastAsia="Calibri" w:hAnsi="Calibri"/>
          <w:color w:val="222222"/>
          <w:sz w:val="20"/>
          <w:szCs w:val="20"/>
        </w:rPr>
        <w:t xml:space="preserve">Private investors and lodge/hospitality operators seeking feasibility or PPP structuring support</w:t>
      </w:r>
    </w:p>
    <w:p>
      <w:pPr>
        <w:pStyle w:val="ListParagraph"/>
        <w:numPr>
          <w:ilvl w:val="0"/>
          <w:numId w:val="2"/>
        </w:numPr>
        <w:spacing w:after="70"/>
      </w:pPr>
      <w:r>
        <w:rPr>
          <w:rFonts w:ascii="Calibri" w:cs="Calibri" w:eastAsia="Calibri" w:hAnsi="Calibri"/>
          <w:color w:val="222222"/>
          <w:sz w:val="20"/>
          <w:szCs w:val="20"/>
        </w:rPr>
        <w:t xml:space="preserve">NGOs and donor-funded programmes requiring training and capacity-building delivery</w:t>
      </w:r>
    </w:p>
    <w:p>
      <w:pPr>
        <w:pBdr>
          <w:bottom w:val="single" w:color="B8863B" w:sz="6" w:space="4"/>
        </w:pBdr>
        <w:spacing w:after="140" w:before="320"/>
      </w:pPr>
      <w:r>
        <w:rPr>
          <w:rFonts w:ascii="Georgia" w:cs="Georgia" w:eastAsia="Georgia" w:hAnsi="Georgia"/>
          <w:b/>
          <w:bCs/>
          <w:color w:val="1F3A5F"/>
          <w:sz w:val="22"/>
          <w:szCs w:val="22"/>
        </w:rPr>
        <w:t xml:space="preserve">CONTACT &amp; REGISTRATION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000"/>
        <w:gridCol w:w="7500"/>
      </w:tblGrid>
      <w:tr>
        <w:tc>
          <w:tcPr>
            <w:tcW w:type="dxa" w:w="30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Registered name</w:t>
            </w:r>
          </w:p>
        </w:tc>
        <w:tc>
          <w:tcPr>
            <w:tcW w:type="dxa" w:w="75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Murchison Odyssey Limited</w:t>
            </w:r>
          </w:p>
        </w:tc>
      </w:tr>
      <w:tr>
        <w:tc>
          <w:tcPr>
            <w:tcW w:type="dxa" w:w="3000"/>
            <w:tcMar>
              <w:top w:type="dxa" w:w="80"/>
              <w:left w:type="dxa" w:w="100"/>
              <w:bottom w:type="dxa" w:w="80"/>
              <w:right w:type="dxa" w:w="100"/>
            </w:tcMar>
          </w:tcPr>
          <w:p>
            <w:pPr>
              <w:jc w:val="left"/>
            </w:pPr>
            <w:r>
              <w:rPr>
                <w:rFonts w:ascii="Calibri" w:cs="Calibri" w:eastAsia="Calibri" w:hAnsi="Calibri"/>
                <w:b/>
                <w:bCs/>
                <w:color w:val="222222"/>
                <w:sz w:val="18"/>
                <w:szCs w:val="18"/>
              </w:rPr>
              <w:t xml:space="preserve">Company type</w:t>
            </w:r>
          </w:p>
        </w:tc>
        <w:tc>
          <w:tcPr>
            <w:tcW w:type="dxa" w:w="75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Private company limited by shares</w:t>
            </w:r>
          </w:p>
        </w:tc>
      </w:tr>
      <w:tr>
        <w:tc>
          <w:tcPr>
            <w:tcW w:type="dxa" w:w="30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Registered address</w:t>
            </w:r>
          </w:p>
        </w:tc>
        <w:tc>
          <w:tcPr>
            <w:tcW w:type="dxa" w:w="75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Zebra Plaza, Plot 23, Nakasero Hill, Nakasero II, Kampala Central Division, Kampala, Uganda</w:t>
            </w:r>
          </w:p>
        </w:tc>
      </w:tr>
      <w:tr>
        <w:tc>
          <w:tcPr>
            <w:tcW w:type="dxa" w:w="3000"/>
            <w:tcMar>
              <w:top w:type="dxa" w:w="80"/>
              <w:left w:type="dxa" w:w="100"/>
              <w:bottom w:type="dxa" w:w="80"/>
              <w:right w:type="dxa" w:w="100"/>
            </w:tcMar>
          </w:tcPr>
          <w:p>
            <w:pPr>
              <w:jc w:val="left"/>
            </w:pPr>
            <w:r>
              <w:rPr>
                <w:rFonts w:ascii="Calibri" w:cs="Calibri" w:eastAsia="Calibri" w:hAnsi="Calibri"/>
                <w:b/>
                <w:bCs/>
                <w:color w:val="222222"/>
                <w:sz w:val="18"/>
                <w:szCs w:val="18"/>
              </w:rPr>
              <w:t xml:space="preserve">P.O. Box</w:t>
            </w:r>
          </w:p>
        </w:tc>
        <w:tc>
          <w:tcPr>
            <w:tcW w:type="dxa" w:w="75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214667, Kampala GPO</w:t>
            </w:r>
          </w:p>
        </w:tc>
      </w:tr>
      <w:tr>
        <w:tc>
          <w:tcPr>
            <w:tcW w:type="dxa" w:w="30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Phone</w:t>
            </w:r>
          </w:p>
        </w:tc>
        <w:tc>
          <w:tcPr>
            <w:tcW w:type="dxa" w:w="75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+256 788 803 333</w:t>
            </w:r>
          </w:p>
        </w:tc>
      </w:tr>
      <w:tr>
        <w:tc>
          <w:tcPr>
            <w:tcW w:type="dxa" w:w="3000"/>
            <w:tcMar>
              <w:top w:type="dxa" w:w="80"/>
              <w:left w:type="dxa" w:w="100"/>
              <w:bottom w:type="dxa" w:w="80"/>
              <w:right w:type="dxa" w:w="100"/>
            </w:tcMar>
          </w:tcPr>
          <w:p>
            <w:pPr>
              <w:jc w:val="left"/>
            </w:pPr>
            <w:r>
              <w:rPr>
                <w:rFonts w:ascii="Calibri" w:cs="Calibri" w:eastAsia="Calibri" w:hAnsi="Calibri"/>
                <w:b/>
                <w:bCs/>
                <w:color w:val="222222"/>
                <w:sz w:val="18"/>
                <w:szCs w:val="18"/>
              </w:rPr>
              <w:t xml:space="preserve">Email</w:t>
            </w:r>
          </w:p>
        </w:tc>
        <w:tc>
          <w:tcPr>
            <w:tcW w:type="dxa" w:w="75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info@murchisonodyssey.com</w:t>
            </w:r>
          </w:p>
        </w:tc>
      </w:tr>
      <w:tr>
        <w:tc>
          <w:tcPr>
            <w:tcW w:type="dxa" w:w="3000"/>
            <w:shd w:fill="F2F0EC" w:val="clear"/>
            <w:tcMar>
              <w:top w:type="dxa" w:w="80"/>
              <w:left w:type="dxa" w:w="100"/>
              <w:bottom w:type="dxa" w:w="80"/>
              <w:right w:type="dxa" w:w="100"/>
            </w:tcMar>
          </w:tcPr>
          <w:p>
            <w:pPr>
              <w:jc w:val="left"/>
            </w:pPr>
            <w:r>
              <w:rPr>
                <w:rFonts w:ascii="Calibri" w:cs="Calibri" w:eastAsia="Calibri" w:hAnsi="Calibri"/>
                <w:b/>
                <w:bCs/>
                <w:color w:val="222222"/>
                <w:sz w:val="18"/>
                <w:szCs w:val="18"/>
              </w:rPr>
              <w:t xml:space="preserve">Directors</w:t>
            </w:r>
          </w:p>
        </w:tc>
        <w:tc>
          <w:tcPr>
            <w:tcW w:type="dxa" w:w="7500"/>
            <w:shd w:fill="F2F0EC" w:val="clear"/>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Collins Roy Ndaula • David Lumala Nsimbe</w:t>
            </w:r>
          </w:p>
        </w:tc>
      </w:tr>
      <w:tr>
        <w:tc>
          <w:tcPr>
            <w:tcW w:type="dxa" w:w="3000"/>
            <w:tcMar>
              <w:top w:type="dxa" w:w="80"/>
              <w:left w:type="dxa" w:w="100"/>
              <w:bottom w:type="dxa" w:w="80"/>
              <w:right w:type="dxa" w:w="100"/>
            </w:tcMar>
          </w:tcPr>
          <w:p>
            <w:pPr>
              <w:jc w:val="left"/>
            </w:pPr>
            <w:r>
              <w:rPr>
                <w:rFonts w:ascii="Calibri" w:cs="Calibri" w:eastAsia="Calibri" w:hAnsi="Calibri"/>
                <w:b/>
                <w:bCs/>
                <w:color w:val="222222"/>
                <w:sz w:val="18"/>
                <w:szCs w:val="18"/>
              </w:rPr>
              <w:t xml:space="preserve">Company Secretary</w:t>
            </w:r>
          </w:p>
        </w:tc>
        <w:tc>
          <w:tcPr>
            <w:tcW w:type="dxa" w:w="7500"/>
            <w:tcMar>
              <w:top w:type="dxa" w:w="80"/>
              <w:left w:type="dxa" w:w="100"/>
              <w:bottom w:type="dxa" w:w="80"/>
              <w:right w:type="dxa" w:w="100"/>
            </w:tcMar>
          </w:tcPr>
          <w:p>
            <w:pPr>
              <w:jc w:val="left"/>
            </w:pPr>
            <w:r>
              <w:rPr>
                <w:rFonts w:ascii="Calibri" w:cs="Calibri" w:eastAsia="Calibri" w:hAnsi="Calibri"/>
                <w:b w:val="false"/>
                <w:bCs w:val="false"/>
                <w:color w:val="222222"/>
                <w:sz w:val="18"/>
                <w:szCs w:val="18"/>
              </w:rPr>
              <w:t xml:space="preserve">Florence Mukuye Namutebi</w:t>
            </w:r>
          </w:p>
        </w:tc>
      </w:tr>
    </w:tbl>
    <w:p>
      <w:pPr>
        <w:pBdr>
          <w:top w:val="single" w:color="B8863B" w:sz="6" w:space="8"/>
        </w:pBdr>
        <w:spacing w:before="300"/>
      </w:pPr>
      <w:r>
        <w:rPr>
          <w:rFonts w:ascii="Calibri" w:cs="Calibri" w:eastAsia="Calibri" w:hAnsi="Calibri"/>
          <w:i/>
          <w:iCs/>
          <w:color w:val="555555"/>
          <w:sz w:val="16"/>
          <w:szCs w:val="16"/>
        </w:rPr>
        <w:t xml:space="preserve">Murchison Odyssey Limited · Zebra Plaza, Nakasero, Kampala · info@murchisonodyssey.com · +256 788 803 333</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2026-08-24T10:48:49.480Z</dcterms:created>
  <dcterms:modified xsi:type="dcterms:W3CDTF">2026-08-24T10:48:49.480Z</dcterms:modified>
</cp:coreProperties>
</file>

<file path=docProps/custom.xml><?xml version="1.0" encoding="utf-8"?>
<Properties xmlns="http://schemas.openxmlformats.org/officeDocument/2006/custom-properties" xmlns:vt="http://schemas.openxmlformats.org/officeDocument/2006/docPropsVTypes"/>
</file>